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tabs defTabSz="708">
          <w:tab w:val="center" w:pos="4677" w:leader="none"/>
          <w:tab w:val="right" w:pos="93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10182" w:type="dxa"/>
        <w:tblLook w:val="04A0" w:firstRow="1" w:lastRow="0" w:firstColumn="1" w:lastColumn="0" w:noHBand="0" w:noVBand="1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>
        <w:trPr>
          <w:cantSplit w:val="0"/>
          <w:trHeight w:val="1210" w:hRule="atLeast"/>
        </w:trPr>
        <w:tc>
          <w:tcPr>
            <w:tcW w:w="10182" w:type="dxa"/>
            <w:gridSpan w:val="10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0" w:name="ИО"/>
            <w:r/>
            <w:bookmarkEnd w:id="0"/>
            <w:r/>
            <w:r>
              <w:rPr>
                <w:lang w:eastAsia="ru-ru"/>
              </w:rPr>
            </w:r>
            <w:r>
              <w:rPr>
                <w:noProof/>
              </w:rPr>
              <w:drawing>
                <wp:inline distT="0" distB="0" distL="0" distR="0">
                  <wp:extent cx="454025" cy="719455"/>
                  <wp:effectExtent l="0" t="0" r="0" b="0"/>
                  <wp:docPr id="1" name="Изображение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0"/>
                          <pic:cNvPicPr>
                            <a:extLst>
                              <a:ext uri="sm">
                                <sm:smNativeData xmlns:sm="sm" val="SMDATA_16_UlOW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B6AAAAAAAAABAAAAAAAAAAAAAAAAAAAAAAAAAAAAAAAAAAAAywIAAG0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25" cy="719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0"/>
          <w:trHeight w:val="1336" w:hRule="atLeast"/>
        </w:trPr>
        <w:tc>
          <w:tcPr>
            <w:tcW w:w="10182" w:type="dxa"/>
            <w:gridSpan w:val="10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76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/>
            <w:bookmarkStart w:id="1" w:name="r06"/>
            <w:r/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КЕМЕРОВСКАЯ ОБЛАСТЬ-КУЗБАСС</w:t>
            </w: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r>
          </w:p>
          <w:p>
            <w:pPr>
              <w:spacing w:after="0" w:line="276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Анжеро-Судженский городской округ</w:t>
            </w:r>
          </w:p>
          <w:p>
            <w:pPr>
              <w:spacing w:after="0" w:line="276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>Администрация Анжеро-Судженского</w:t>
            </w:r>
            <w:r/>
            <w:bookmarkEnd w:id="1"/>
            <w:r/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  <w:t xml:space="preserve"> городского округа</w:t>
            </w:r>
            <w:r>
              <w:rPr>
                <w:rFonts w:ascii="Times New Roman" w:hAnsi="Times New Roman" w:eastAsia="Times New Roman" w:cs="Times New Roman"/>
                <w:b/>
                <w:caps/>
                <w:sz w:val="28"/>
                <w:szCs w:val="28"/>
                <w:lang w:eastAsia="ru-ru"/>
              </w:rPr>
            </w:r>
          </w:p>
          <w:p>
            <w:pPr>
              <w:spacing w:after="0" w:line="36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6"/>
                <w:szCs w:val="26"/>
                <w:lang w:eastAsia="ru-ru"/>
              </w:rPr>
            </w:r>
          </w:p>
        </w:tc>
      </w:tr>
      <w:tr>
        <w:trPr>
          <w:cantSplit w:val="0"/>
          <w:trHeight w:val="658" w:hRule="atLeast"/>
        </w:trPr>
        <w:tc>
          <w:tcPr>
            <w:tcW w:w="10182" w:type="dxa"/>
            <w:gridSpan w:val="10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  <w:lang w:eastAsia="ru-ru"/>
              </w:rPr>
            </w:r>
          </w:p>
        </w:tc>
      </w:tr>
      <w:tr>
        <w:trPr>
          <w:cantSplit w:val="0"/>
          <w:trHeight w:val="148" w:hRule="atLeast"/>
        </w:trPr>
        <w:tc>
          <w:tcPr>
            <w:tcW w:w="10182" w:type="dxa"/>
            <w:gridSpan w:val="10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rPr>
          <w:cantSplit w:val="0"/>
          <w:trHeight w:val="339" w:hRule="atLeast"/>
        </w:trPr>
        <w:tc>
          <w:tcPr>
            <w:tcW w:w="152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ind w:right="33"/>
              <w:spacing w:after="0" w:line="240" w:lineRule="auto"/>
              <w:jc w:val="right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62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both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5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52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ind w:right="-76"/>
              <w:spacing w:after="0" w:line="240" w:lineRule="auto"/>
              <w:jc w:val="right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ind w:right="-152"/>
              <w:spacing w:after="0" w:line="240" w:lineRule="auto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5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8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61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1710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>
          <w:cantSplit w:val="0"/>
          <w:trHeight w:val="499" w:hRule="atLeast"/>
        </w:trPr>
        <w:tc>
          <w:tcPr>
            <w:tcW w:w="10182" w:type="dxa"/>
            <w:gridSpan w:val="10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Анжеро-Судженского городского округа от 08.12.2025 № 1189 «Об утверждении муниципальной программы «Развитие системы образования»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в соответствии со статьей 179 Бюджетного кодекса Российской Федерации и постановлением администрации Анжеро-Судженского городского округа от 15.07.2025 № 721 «О порядке разработки и реализации муниципальных программ Анжеро-Судженского городского округа Кемеровской области - Кузбасса: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в постановление администрации Анжеро-Судженского городского округа от 08.12.2025 № 1189 «Об утверждении муниципальной программы «Развитие системы образования» (в редакции постановлений от 30.01.2026 № 47, 09.06.2026 № 410) следующие изменения:</w:t>
      </w:r>
    </w:p>
    <w:p>
      <w:pPr>
        <w:ind w:firstLine="709"/>
        <w:spacing w:after="0" w:line="240" w:lineRule="auto"/>
        <w:jc w:val="both"/>
        <w:suppressAutoHyphens/>
        <w:hyphenationLines w:val="0"/>
        <w:tabs defTabSz="708">
          <w:tab w:val="left" w:pos="4695" w:leader="none"/>
        </w:tabs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1.1. В Приложении № 2 к муниципальной программе «Развитие системы образования» «Паспорт муниципальной программы Анжеро-Судженского городского округа «Развитие системы образования» раздел «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4. Финансовое обеспечение муниципальной программы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» изложить в новой редакции согласно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П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риложению № 1 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r>
    </w:p>
    <w:p>
      <w:pPr>
        <w:ind w:firstLine="708"/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1.2. В Приложении № 3 к муниципальной программе «Развитие системы образования»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мероприятий «Развитие дошкольного, общего и дополнительного образования детей в Анжеро-Судженском городском округе»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 w:eastAsia="Times New Roman" w:cs="Times New Roman"/>
          <w:sz w:val="28"/>
          <w:szCs w:val="28"/>
        </w:rPr>
        <w:t>5. Финансовое обеспечение комплекса процессных мероприятий</w:t>
      </w:r>
      <w:r>
        <w:rPr>
          <w:rFonts w:ascii="Times New Roman" w:hAnsi="Times New Roman" w:eastAsia="Times New Roman" w:cs="Times New Roman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изложить в новой редакции согласно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П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>риложению № 2 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r>
    </w:p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ab/>
        <w:t>1.3.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№ 4 к муниципальной программе «Развитие системы образования» «Паспорт комплекса процессных мероприятий «Детский отдых и оздоровление, занятость» раздел «</w:t>
      </w:r>
      <w:r>
        <w:rPr>
          <w:rFonts w:ascii="Times New Roman" w:hAnsi="Times New Roman" w:eastAsia="Times New Roman" w:cs="Times New Roman"/>
          <w:sz w:val="28"/>
          <w:szCs w:val="28"/>
        </w:rPr>
        <w:t>5.Финансовое обеспечение комплекса процессных мероприятий»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 изложить в новой редакции согласно Приложению № 3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>1.4.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№ 5 к муниципальной программе «Развитие системы образования» «Паспорт комплекса процессных мероприятий «Безопасность в образовательных организациях» раздел «5. Финансовое обеспечение комплекса процессных мероприятий»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 изложить в новой редакции согласно Приложению № 4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>1.5.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№ 6 к муниципальной программе «Развитие системы образования» «Паспорт комплекса процессных мероприятий «Социальные гарантии в системе образования» раздел «5. Финансовое обеспечение комплекса процессных мероприятий»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 изложить в новой редакции согласно Приложению № 5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1.6. </w:t>
      </w:r>
      <w:r>
        <w:rPr>
          <w:rFonts w:ascii="Times New Roman" w:hAnsi="Times New Roman" w:cs="Times New Roman"/>
          <w:sz w:val="28"/>
          <w:szCs w:val="28"/>
        </w:rPr>
        <w:t>В Приложении № 7 к муниципальной программе «Развитие системы образования» «Паспорт комплекса процессных мероприятий «Прочие мероприятия в области образования» раздел «5. Финансовое обеспечение комплекса процессных мероприятий»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 изложить в новой редакции согласно Приложению № 6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Директору муниципальной программы «Развитие системы образования» разместить настоящее постановление в течение 10 рабочих дней со дня официального опубликования в информационно–телекоммуникационной сети «Интернет» на официальных сайтах: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Министерства экономического развития Российской Федерации, внесение изменений в федеральный государственный реестр документов стратегического планирования посредством заполнения электронных форм уведомлений в государственной автоматизированной системе «Управление». Электронный адрес: http://gasu.gov.ru;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Анжеро-Судженского городского округа, электронный адрес www.anzhero.ru.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массовой газете Анжеро-Судженского городского округа «Наш город».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(по социальным вопросам).</w:t>
      </w:r>
    </w:p>
    <w:p>
      <w:pPr>
        <w:ind w:firstLine="70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после официального опубликования.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3753485</wp:posOffset>
            </wp:positionH>
            <wp:positionV relativeFrom="page">
              <wp:posOffset>7861935</wp:posOffset>
            </wp:positionV>
            <wp:extent cx="1390650" cy="1390650"/>
            <wp:effectExtent l="0" t="0" r="0" b="0"/>
            <wp:wrapNone/>
            <wp:docPr id="2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1"/>
                    <pic:cNvPicPr>
                      <a:picLocks noChangeAspect="1"/>
                      <a:extLst>
                        <a:ext uri="sm">
                          <sm:smNativeData xmlns:sm="sm" val="SMDATA_16_UlOW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SAAAAAAAAAAAAAAAAAAAAAQAAAAAAAAAXFwAAAQAAAAAAAABdMAAAjggAAI4IAAABAAAAFxcAAF0w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  <w:tab/>
        <w:t xml:space="preserve">                                                         Д.В. Ажичаков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footerReference w:type="default" r:id="rId10"/>
          <w:type w:val="nextPage"/>
          <w:pgSz w:h="16838" w:w="11906"/>
          <w:pgMar w:left="1701" w:top="1134" w:right="850" w:bottom="1134" w:header="0" w:footer="708"/>
          <w:paperSrc w:first="0" w:other="0" a="0" b="0"/>
          <w:pgNumType w:fmt="decimal"/>
          <w:tmGutter w:val="3"/>
          <w:mirrorMargins w:val="0"/>
          <w:tmSection w:h="-1">
            <w:tmFooter w:id="0" w:h="0" edge="70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1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2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Анжеро-Судженского городского округа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 декабря 2025г. № 1189</w:t>
      </w:r>
      <w:r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6195" w:leader="none"/>
          <w:tab w:val="left" w:pos="706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муниципальной программы Анжеро-Судженского городского округа «Развитие системы образования»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4695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>4. Финансовое обеспечение муниципальной программы</w:t>
      </w:r>
    </w:p>
    <w:tbl>
      <w:tblPr>
        <w:tblStyle w:val="NormalTable"/>
        <w:name w:val="Таблица2"/>
        <w:tabOrder w:val="0"/>
        <w:jc w:val="center"/>
        <w:tblInd w:w="0" w:type="dxa"/>
        <w:tblW w:w="14555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6169"/>
        <w:gridCol w:w="1394"/>
        <w:gridCol w:w="1324"/>
        <w:gridCol w:w="1374"/>
        <w:gridCol w:w="1374"/>
        <w:gridCol w:w="1284"/>
        <w:gridCol w:w="1636"/>
      </w:tblGrid>
      <w:tr>
        <w:trPr>
          <w:cantSplit w:val="0"/>
          <w:trHeight w:val="332" w:hRule="atLeast"/>
        </w:trPr>
        <w:tc>
          <w:tcPr>
            <w:tcW w:w="6169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tabs defTabSz="708">
                <w:tab w:val="left" w:pos="6673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 xml:space="preserve">Наименование муниципальной программы, структурного элемента / источник финансового </w:t>
            </w:r>
            <w:r>
              <w:rPr>
                <w:rFonts w:ascii="Times New Roman" w:hAnsi="Times New Roman" w:eastAsia="Times New Roman" w:cs="Times New Roman"/>
                <w:b/>
                <w:spacing w:val="-37" w:percent="65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8386" w:type="dxa"/>
            <w:gridSpan w:val="6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tabs defTabSz="708">
                <w:tab w:val="left" w:pos="6435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Объем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b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b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тыс.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rPr>
          <w:cantSplit w:val="0"/>
          <w:trHeight w:val="337" w:hRule="atLeast"/>
        </w:trPr>
        <w:tc>
          <w:tcPr>
            <w:tcW w:w="6169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39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7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7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84" w:type="dxa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63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 xml:space="preserve"> Муниципальная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программа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1 971 985,6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2 045 423,7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1 990 448,9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6 007 858,2</w:t>
            </w:r>
          </w:p>
        </w:tc>
      </w:tr>
      <w:tr>
        <w:trPr>
          <w:cantSplit w:val="0"/>
          <w:trHeight w:val="211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Федеральный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solid" w:color="FFFFFF" tmshd="6553856, 16777215, 16777215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114 866,2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159 978,8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108 772,3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383 617,3</w:t>
            </w:r>
          </w:p>
        </w:tc>
      </w:tr>
      <w:tr>
        <w:trPr>
          <w:cantSplit w:val="0"/>
          <w:trHeight w:val="314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solid" w:color="FFFFFF" tmshd="6553856, 16777215, 16777215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770 968,4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828 667,9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782 643,7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2 382 280,0</w:t>
            </w:r>
          </w:p>
        </w:tc>
      </w:tr>
      <w:tr>
        <w:trPr>
          <w:cantSplit w:val="0"/>
          <w:trHeight w:val="46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849 229,9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800 384,0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842 639,9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2 492 253,8</w:t>
            </w:r>
          </w:p>
        </w:tc>
      </w:tr>
      <w:tr>
        <w:trPr>
          <w:cantSplit w:val="0"/>
          <w:trHeight w:val="290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236 921,1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256 393,0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256 393,0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749 707,1</w:t>
            </w:r>
          </w:p>
        </w:tc>
      </w:tr>
      <w:tr>
        <w:trPr>
          <w:cantSplit w:val="0"/>
          <w:trHeight w:val="290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Объем налоговых расходов (прогноз по данным отчета за 2024г.)</w:t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  <w:r/>
            <w:bookmarkStart w:id="2" w:name="_GoBack"/>
            <w:r/>
            <w:bookmarkEnd w:id="2"/>
            <w:r/>
            <w:r>
              <w:rPr>
                <w:rFonts w:ascii="Times New Roman" w:hAnsi="Times New Roman" w:cs="Times New Roman"/>
                <w:bCs/>
              </w:rPr>
            </w:r>
          </w:p>
        </w:tc>
      </w:tr>
      <w:tr>
        <w:trPr>
          <w:cantSplit w:val="0"/>
          <w:trHeight w:val="237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Комплекс процессных мероприятий «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Развитие дошкольного, общего и дополнительного образования детей в Анжеро-Судженском городском округе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(всего), в том числе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1 663 637,6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1 627 871,7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1 659 981,8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4 951 491,1</w:t>
            </w:r>
          </w:p>
        </w:tc>
      </w:tr>
      <w:tr>
        <w:trPr>
          <w:cantSplit w:val="0"/>
          <w:trHeight w:val="317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114 866,2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110 335,6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108 772,3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333 974,1</w:t>
            </w:r>
          </w:p>
        </w:tc>
      </w:tr>
      <w:tr>
        <w:trPr>
          <w:cantSplit w:val="0"/>
          <w:trHeight w:val="414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722 930,3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735 461,9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734 605,6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2 192 997,8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726 215,8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675 985,5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710 515,2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2 112 716,5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99 625,3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106 088,7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106 088,7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311 802,7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Комплекс процессных мероприятий «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Детский отдых и оздоровление, занятость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10 318,6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9 867,0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9 211,4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29 397,0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3 210,4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3 460,4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3 460,4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10 131,2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1 362,4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2 028,4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17 237,4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>Комплекс процессных мероприятий «Безопасность в образовательных организациях»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62 259,3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10 946,4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73 205,7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49 643,2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49 643,2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10 167,9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10 167,9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2 448,2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10 946,4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13 394,6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Комплекс процессных мероприятий «Социальные гарантии в системе образования»</w:t>
            </w:r>
            <w:r>
              <w:rPr>
                <w:rFonts w:ascii="Times New Roman" w:hAnsi="Times New Roman" w:cs="Times New Roman"/>
                <w:iCs/>
                <w:lang w:eastAsia="zh-cn"/>
              </w:rPr>
              <w:t xml:space="preserve"> (всего),</w:t>
            </w:r>
            <w:r>
              <w:rPr>
                <w:rFonts w:ascii="Times New Roman" w:hAnsi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  <w:lang w:eastAsia="zh-cn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45 925,8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45 625,8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45 625,8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137 177,4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39 041,9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38 791,9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38 791,9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116 625,7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6 883,9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6 833,9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6 833,9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20 551,7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«Прочие мероприятия в области образования»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252 103,6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264 799,9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264 683,5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781 587,0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17 357,4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114 767,8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114 455,6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114 339,2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343 562,6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131 550,0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144 558,5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144 558,5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420 667,0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Муниципальный проект «Капитальный ремонт и оснащение учреждения отдыха и оздоровления»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(всего),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35 000,0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35 000,0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(справочно)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8" w:hRule="atLeast"/>
        </w:trPr>
        <w:tc>
          <w:tcPr>
            <w:tcW w:w="6169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9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3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footerReference w:type="default" r:id="rId11"/>
          <w:type w:val="nextPage"/>
          <w:pgSz w:h="11906" w:w="16838" w:orient="landscape"/>
          <w:pgMar w:left="720" w:top="720" w:right="720" w:bottom="720" w:header="0" w:footer="708"/>
          <w:paperSrc w:first="0" w:other="0" a="0" b="0"/>
          <w:pgNumType w:fmt="decimal"/>
          <w:tmGutter w:val="3"/>
          <w:mirrorMargins w:val="0"/>
          <w:tmSection w:h="-1">
            <w:tmFooter w:id="0" w:h="0" edge="70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2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3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>Анжеро-Судженского городского округа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 декабря 2025г.  № 1189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мероприятий «Развитие дошкольного, общего и дополнительного образования детей 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Анжеро-Судженском городском округе»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5. Финансовое обеспечение комплекса процессных мероприятий</w:t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NormalTable"/>
        <w:name w:val="Таблица3"/>
        <w:tabOrder w:val="0"/>
        <w:jc w:val="center"/>
        <w:tblInd w:w="0" w:type="dxa"/>
        <w:tblW w:w="15399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6676"/>
        <w:gridCol w:w="1493"/>
        <w:gridCol w:w="1444"/>
        <w:gridCol w:w="1373"/>
        <w:gridCol w:w="1504"/>
        <w:gridCol w:w="1423"/>
        <w:gridCol w:w="1486"/>
      </w:tblGrid>
      <w:tr>
        <w:trPr>
          <w:cantSplit w:val="0"/>
          <w:trHeight w:val="675" w:hRule="atLeast"/>
        </w:trPr>
        <w:tc>
          <w:tcPr>
            <w:tcW w:w="6676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  <w:p>
            <w:pPr>
              <w:spacing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spacing w:val="-7" w:percent="9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(результата)</w:t>
            </w:r>
            <w:r>
              <w:rPr>
                <w:rFonts w:ascii="Times New Roman" w:hAnsi="Times New Roman" w:eastAsia="Times New Roman" w:cs="Times New Roman"/>
                <w:spacing w:val="-8" w:percent="9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источник</w:t>
            </w:r>
            <w:r>
              <w:rPr>
                <w:rFonts w:ascii="Times New Roman" w:hAnsi="Times New Roman" w:eastAsia="Times New Roman" w:cs="Times New Roman"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8723" w:type="dxa"/>
            <w:gridSpan w:val="6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тыс.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455" w:hRule="atLeast"/>
        </w:trPr>
        <w:tc>
          <w:tcPr>
            <w:tcW w:w="6676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493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4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73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50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23" w:type="dxa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486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Комплекс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процессных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Развитие дошкольного, общего и дополнительного образования детей в Анжеро-Судженском городском округе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1 663 637,6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1 627 871,7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1 659 981,8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4 951 491,1</w:t>
            </w:r>
          </w:p>
        </w:tc>
      </w:tr>
      <w:tr>
        <w:trPr>
          <w:cantSplit w:val="0"/>
          <w:trHeight w:val="274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114 866,2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110 335,6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108 772,3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333 974,1</w:t>
            </w:r>
          </w:p>
        </w:tc>
      </w:tr>
      <w:tr>
        <w:trPr>
          <w:cantSplit w:val="0"/>
          <w:trHeight w:val="232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722 930,3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735 461,9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734 605,6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2 192 997,8</w:t>
            </w:r>
          </w:p>
        </w:tc>
      </w:tr>
      <w:tr>
        <w:trPr>
          <w:cantSplit w:val="0"/>
          <w:trHeight w:val="35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726 215,8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675 985,5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710 515,2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2 112 716,5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99 625,3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106 088,7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106 088,7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311 802,7</w:t>
            </w:r>
          </w:p>
        </w:tc>
      </w:tr>
      <w:tr>
        <w:trPr>
          <w:cantSplit w:val="0"/>
          <w:trHeight w:val="286" w:hRule="atLeast"/>
        </w:trPr>
        <w:tc>
          <w:tcPr>
            <w:tcW w:w="15399" w:type="dxa"/>
            <w:gridSpan w:val="7"/>
            <w:vAlign w:val="center"/>
            <w:shd w:val="none"/>
            <w:tcMar>
              <w:left w:w="6" w:type="dxa"/>
              <w:right w:w="6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Задача: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>«Обеспечение общедоступного и качественного дошкольного образования»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№ 1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Обеспечение общедоступного и качественного дошкольного образования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всего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638 390,2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650 914,3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650 322,6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1 939 627,1</w:t>
            </w:r>
          </w:p>
        </w:tc>
      </w:tr>
      <w:tr>
        <w:trPr>
          <w:cantSplit w:val="0"/>
          <w:trHeight w:val="284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251 024,9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261 123,2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261 123,2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773 271,3</w:t>
            </w:r>
          </w:p>
        </w:tc>
      </w:tr>
      <w:tr>
        <w:trPr>
          <w:cantSplit w:val="0"/>
          <w:trHeight w:val="354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315 807,2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314 970,2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314 378,5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945 155,9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71 558,1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74 820,9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74 820,9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221 199,9</w:t>
            </w:r>
          </w:p>
        </w:tc>
      </w:tr>
      <w:tr>
        <w:trPr>
          <w:cantSplit w:val="0"/>
          <w:trHeight w:val="286" w:hRule="atLeast"/>
        </w:trPr>
        <w:tc>
          <w:tcPr>
            <w:tcW w:w="15399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«Обеспечение возможности детям получать качественное общее образование в условиях, отвечающих современным требованиям, независимо от места </w:t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>проживания ребенка»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 xml:space="preserve">№2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«Обеспечение общего образования, в том числе для детей с ограниченными возможностями здоровья» 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609 035,0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558 785,8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595 228,6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1 763 049,4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457 903,6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458 148,1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458 148,1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1 374 199,8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144 682,1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95 249,0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131 691,8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371 622,9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6 449,3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5 388,7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5 388,7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17 226,7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(результат) № 3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«Создание кадетских (казачьих) классов в общеобразовательных организациях Кемеровской области-Кузбасса», всего, в том числе:</w:t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(результат) № 4</w:t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организациях», всего, в том числе:</w:t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4 387,5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5 540,9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5 593,2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15 521,6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4 050,1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4 823,4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4 866,8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13 740,3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717,5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726,4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1 781,3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contextualSpacing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  <w:t>Мероприятие (результат) № 5</w:t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>«Обеспечение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программы», всего, в том 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76 776,4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76 776,4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76 776,4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230 329,2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76 776,4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76 776,4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76 776,4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230 329,2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contextualSpacing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  <w:t>Мероприятие (результат) № 6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>«Развитие кадрового потенциала муниципальной системы образования», всего, в том 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contextualSpacing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  <w:t>Мероприятие (результат) № 7</w:t>
            </w:r>
          </w:p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>«Субсидия на организацию бесплатного горячего питания обучающихся, получающих начальное общее образование в государственных образовательных организациях», всего, в том 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46 761,1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44 208,9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41 737,0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132 707,0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33 200,4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28 735,8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27 129,1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89 065,3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solid" w:color="FFFFFF" tmshd="6553856, 16777215, 16777215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13 560,7</w:t>
            </w:r>
          </w:p>
        </w:tc>
        <w:tc>
          <w:tcPr>
            <w:tcW w:w="1444" w:type="dxa"/>
            <w:vAlign w:val="bottom"/>
            <w:shd w:val="solid" w:color="FFFFFF" tmshd="6553856, 16777215, 16777215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15 473,1</w:t>
            </w:r>
          </w:p>
        </w:tc>
        <w:tc>
          <w:tcPr>
            <w:tcW w:w="1373" w:type="dxa"/>
            <w:vAlign w:val="bottom"/>
            <w:shd w:val="solid" w:color="FFFFFF" tmshd="6553856, 16777215, 16777215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14 607,9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43 641,7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contextualSpacing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  <w:t>Мероприятие (результат) № 8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>«Обеспечение прав граждан на получение дополнительного образования», всего, в том 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270 285,0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274 707,6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273 393,2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818 385,8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248 667,1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248 828,5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247 514,1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745 009,7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21 617,9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25 879,1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25 879,1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73 376,1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contextualSpacing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 w:percent="94"/>
                <w:lang w:eastAsia="zh-cn"/>
              </w:rPr>
              <w:t>Мероприятие (результат) № 9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6" w:percent="94"/>
                <w:lang w:eastAsia="zh-cn"/>
              </w:rPr>
              <w:t>«Обеспечение персонифицированного финансирования дополнительного образования детей в рамках социального заказа», всего, в том числе:</w:t>
            </w: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16 938,4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16 937,8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16 930,8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50 807,0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16 938,4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16 937,8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16 930,8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50 807,0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530" w:hRule="atLeast"/>
        </w:trPr>
        <w:tc>
          <w:tcPr>
            <w:tcW w:w="15399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«Обеспечение возможности детям получать качественное дополнительное образование в учреждениях сферы культуры»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(результат) № 10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«Государственная поддержка отрасли культуры (оснащение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материалами)», всего, в том числе:</w:t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1 014,0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1 014,0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Федеральный бюджет 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Областной бюджет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Местный бюджет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71,0</w:t>
            </w:r>
          </w:p>
        </w:tc>
      </w:tr>
      <w:tr>
        <w:trPr>
          <w:cantSplit w:val="0"/>
          <w:trHeight w:val="286" w:hRule="atLeast"/>
        </w:trPr>
        <w:tc>
          <w:tcPr>
            <w:tcW w:w="6676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r>
          </w:p>
        </w:tc>
        <w:tc>
          <w:tcPr>
            <w:tcW w:w="149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86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3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4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Анжеро-Судженского городского округа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 декабря 2025г.  № 1189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мероприятий «Детский отдых и оздоровление, занятость»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</w:p>
    <w:p>
      <w:pPr>
        <w:spacing w:after="0" w:line="240" w:lineRule="auto"/>
        <w:contextualSpacing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5.Финансовое обеспечение комплекса процессных мероприятий</w:t>
      </w:r>
    </w:p>
    <w:p>
      <w:pPr>
        <w:spacing w:after="0" w:line="240" w:lineRule="auto"/>
        <w:contextualSpacing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NormalTable"/>
        <w:name w:val="Таблица4"/>
        <w:tabOrder w:val="0"/>
        <w:jc w:val="center"/>
        <w:tblInd w:w="0" w:type="dxa"/>
        <w:tblW w:w="15331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7264"/>
        <w:gridCol w:w="1344"/>
        <w:gridCol w:w="1345"/>
        <w:gridCol w:w="1344"/>
        <w:gridCol w:w="1344"/>
        <w:gridCol w:w="1343"/>
        <w:gridCol w:w="1347"/>
      </w:tblGrid>
      <w:tr>
        <w:trPr>
          <w:cantSplit w:val="0"/>
          <w:trHeight w:val="675" w:hRule="atLeast"/>
        </w:trPr>
        <w:tc>
          <w:tcPr>
            <w:tcW w:w="7264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</w:r>
          </w:p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spacing w:val="-7" w:percent="9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(результата)</w:t>
            </w:r>
            <w:r>
              <w:rPr>
                <w:rFonts w:ascii="Times New Roman" w:hAnsi="Times New Roman" w:eastAsia="Times New Roman" w:cs="Times New Roman"/>
                <w:spacing w:val="-8" w:percent="9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источник</w:t>
            </w:r>
            <w:r>
              <w:rPr>
                <w:rFonts w:ascii="Times New Roman" w:hAnsi="Times New Roman" w:eastAsia="Times New Roman" w:cs="Times New Roman"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8067" w:type="dxa"/>
            <w:gridSpan w:val="6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тыс.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455" w:hRule="atLeast"/>
        </w:trPr>
        <w:tc>
          <w:tcPr>
            <w:tcW w:w="7264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34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5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3" w:type="dxa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347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Комплекс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процессных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«Детский отдых и оздоровление, занятость»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10 318,6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9 867,0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9 211,4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29 397,0</w:t>
            </w:r>
          </w:p>
        </w:tc>
      </w:tr>
      <w:tr>
        <w:trPr>
          <w:cantSplit w:val="0"/>
          <w:trHeight w:val="274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32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3 210,4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3 460,4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3 460,4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10 131,2</w:t>
            </w:r>
          </w:p>
        </w:tc>
      </w:tr>
      <w:tr>
        <w:trPr>
          <w:cantSplit w:val="0"/>
          <w:trHeight w:val="35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1 362,4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660,8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2 028,4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5 745,8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17 237,4</w:t>
            </w:r>
          </w:p>
        </w:tc>
      </w:tr>
      <w:tr>
        <w:trPr>
          <w:cantSplit w:val="0"/>
          <w:trHeight w:val="286" w:hRule="atLeast"/>
        </w:trPr>
        <w:tc>
          <w:tcPr>
            <w:tcW w:w="15331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«Увеличение доли обучающихся и молодёжи, охваченных организованными формами отдыха и оздоровления, в том числе занятых трудовой деятельностью»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 №1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«Организация круглогодичного отдыха, оздоровления и занятости обучающихся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10 313,3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9 863,3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9 209,2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29 385,8</w:t>
            </w:r>
          </w:p>
        </w:tc>
      </w:tr>
      <w:tr>
        <w:trPr>
          <w:cantSplit w:val="0"/>
          <w:trHeight w:val="284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3 210,4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3 460,4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3 460,4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10 131,2</w:t>
            </w:r>
          </w:p>
        </w:tc>
      </w:tr>
      <w:tr>
        <w:trPr>
          <w:cantSplit w:val="0"/>
          <w:trHeight w:val="354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1 357,1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657,1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2 017,2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5 745,8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5 745,8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5 745,8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17 237,4</w:t>
            </w:r>
          </w:p>
        </w:tc>
      </w:tr>
      <w:tr>
        <w:trPr>
          <w:cantSplit w:val="0"/>
          <w:trHeight w:val="286" w:hRule="atLeast"/>
        </w:trPr>
        <w:tc>
          <w:tcPr>
            <w:tcW w:w="15331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системы выявления, развития и адресной поддержки талантливых детей и молодёжи, обеспечение условий для их личностной самореализации и профессионального самоопределения, успешной социализации»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 №2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Поддержка талантливых детей и молодёжи, обеспечение условий для их личностной самореализации и профессионального самоопределения, успешной социализации в обществе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5,3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2,2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11,2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>
        <w:trPr>
          <w:cantSplit w:val="0"/>
          <w:trHeight w:val="286" w:hRule="atLeast"/>
        </w:trPr>
        <w:tc>
          <w:tcPr>
            <w:tcW w:w="7264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>
      <w:pPr>
        <w:spacing w:after="0" w:line="240" w:lineRule="auto"/>
        <w:contextualSpacing/>
        <w:jc w:val="both"/>
        <w:suppressAutoHyphens/>
        <w:hyphenationLines w:val="0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center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4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5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Анжеро-Судженского городского округа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 декабря 2025г. № 1189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мероприятий «Безопасность в образовательных организациях»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</w:p>
    <w:p>
      <w:pPr>
        <w:spacing w:after="0" w:line="240" w:lineRule="auto"/>
        <w:jc w:val="both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5. Финансовое обеспечение комплекса процессных мероприятий</w:t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NormalTable"/>
        <w:name w:val="Таблица5"/>
        <w:tabOrder w:val="0"/>
        <w:jc w:val="center"/>
        <w:tblInd w:w="0" w:type="dxa"/>
        <w:tblW w:w="15247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7855"/>
        <w:gridCol w:w="1101"/>
        <w:gridCol w:w="997"/>
        <w:gridCol w:w="1324"/>
        <w:gridCol w:w="1322"/>
        <w:gridCol w:w="1321"/>
        <w:gridCol w:w="1327"/>
      </w:tblGrid>
      <w:tr>
        <w:trPr>
          <w:cantSplit w:val="0"/>
          <w:trHeight w:val="675" w:hRule="atLeast"/>
        </w:trPr>
        <w:tc>
          <w:tcPr>
            <w:tcW w:w="7855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spacing w:val="-7" w:percent="9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(результата)</w:t>
            </w:r>
            <w:r>
              <w:rPr>
                <w:rFonts w:ascii="Times New Roman" w:hAnsi="Times New Roman" w:eastAsia="Times New Roman" w:cs="Times New Roman"/>
                <w:spacing w:val="-8" w:percent="9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источник</w:t>
            </w:r>
            <w:r>
              <w:rPr>
                <w:rFonts w:ascii="Times New Roman" w:hAnsi="Times New Roman" w:eastAsia="Times New Roman" w:cs="Times New Roman"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392" w:type="dxa"/>
            <w:gridSpan w:val="6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тыс.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455" w:hRule="atLeast"/>
        </w:trPr>
        <w:tc>
          <w:tcPr>
            <w:tcW w:w="7855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101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997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2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21" w:type="dxa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327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Комплекс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процессных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«Безопасность в образовательных организациях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62 259,3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10 946,4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73 205,7</w:t>
            </w:r>
          </w:p>
        </w:tc>
      </w:tr>
      <w:tr>
        <w:trPr>
          <w:cantSplit w:val="0"/>
          <w:trHeight w:val="274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49 643,2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49 643,2</w:t>
            </w:r>
          </w:p>
        </w:tc>
      </w:tr>
      <w:tr>
        <w:trPr>
          <w:cantSplit w:val="0"/>
          <w:trHeight w:val="232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10 167,9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10 167,9</w:t>
            </w:r>
          </w:p>
        </w:tc>
      </w:tr>
      <w:tr>
        <w:trPr>
          <w:cantSplit w:val="0"/>
          <w:trHeight w:val="35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2 448,2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10 946,4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13 394,6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524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contextualSpacing/>
              <w:jc w:val="both"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«Сохранение жизни и здоровья обучающихся и работников, а также материальных ценностей образовательных организаций»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№ 1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Реализация мероприятий по обеспечению антитеррористической защищённости в муниципальных образовательных организациях Кемеровской области – Кузбасса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1 224,1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4 896,8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6 120,9</w:t>
            </w:r>
          </w:p>
        </w:tc>
      </w:tr>
      <w:tr>
        <w:trPr>
          <w:cantSplit w:val="0"/>
          <w:trHeight w:val="284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354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1 224,1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4 896,8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6 120,9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№ 2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– Кузбасса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1 224,1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6 049,6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7 273,7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1 224,1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6 049,6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7 273,7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524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contextualSpacing/>
              <w:jc w:val="both"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«Формирование и развитие инфраструктуры детства, проведение капитального ремонта зданий образовательных организаций»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 (результат)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№3 «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59 811,1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59 811,1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49 643,2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49 643,2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10 167,9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10 167,9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85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0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2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5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6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Анжеро-Судженского городского округа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08.12.2025 № 1189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мероприятий «Социальные гарантии в системе образования»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</w:p>
    <w:p>
      <w:pPr>
        <w:spacing w:after="0" w:line="240" w:lineRule="auto"/>
        <w:suppressAutoHyphens/>
        <w:hyphenationLines w:val="0"/>
        <w:tabs defTabSz="708">
          <w:tab w:val="left" w:pos="3544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5. Финансовое обеспечение комплекса процессных мероприятий</w:t>
      </w:r>
    </w:p>
    <w:p>
      <w:pPr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NormalTable"/>
        <w:name w:val="Таблица6"/>
        <w:tabOrder w:val="0"/>
        <w:jc w:val="center"/>
        <w:tblInd w:w="0" w:type="dxa"/>
        <w:tblW w:w="14977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7475"/>
        <w:gridCol w:w="1251"/>
        <w:gridCol w:w="1252"/>
        <w:gridCol w:w="1251"/>
        <w:gridCol w:w="1245"/>
        <w:gridCol w:w="1244"/>
        <w:gridCol w:w="1259"/>
      </w:tblGrid>
      <w:tr>
        <w:trPr>
          <w:cantSplit w:val="0"/>
          <w:trHeight w:val="675" w:hRule="atLeast"/>
        </w:trPr>
        <w:tc>
          <w:tcPr>
            <w:tcW w:w="7475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spacing w:val="-7" w:percent="9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(результата)</w:t>
            </w:r>
            <w:r>
              <w:rPr>
                <w:rFonts w:ascii="Times New Roman" w:hAnsi="Times New Roman" w:eastAsia="Times New Roman" w:cs="Times New Roman"/>
                <w:spacing w:val="-8" w:percent="9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источник</w:t>
            </w:r>
            <w:r>
              <w:rPr>
                <w:rFonts w:ascii="Times New Roman" w:hAnsi="Times New Roman" w:eastAsia="Times New Roman" w:cs="Times New Roman"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502" w:type="dxa"/>
            <w:gridSpan w:val="6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тыс.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455" w:hRule="atLeast"/>
        </w:trPr>
        <w:tc>
          <w:tcPr>
            <w:tcW w:w="7475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251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52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51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5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4" w:type="dxa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259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Комплекс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процессных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«Социальные гарантии в системе образования»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45 925,8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45 625,8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45 625,8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137 177,4</w:t>
            </w:r>
          </w:p>
        </w:tc>
      </w:tr>
      <w:tr>
        <w:trPr>
          <w:cantSplit w:val="0"/>
          <w:trHeight w:val="274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>
        <w:trPr>
          <w:cantSplit w:val="0"/>
          <w:trHeight w:val="232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39 041,9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38 791,9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38 791,9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116 625,7</w:t>
            </w:r>
          </w:p>
        </w:tc>
      </w:tr>
      <w:tr>
        <w:trPr>
          <w:cantSplit w:val="0"/>
          <w:trHeight w:val="35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6 833,9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6 833,9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6 833,9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20 551,7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497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contextualSpacing/>
              <w:jc w:val="both"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«Сохранение и развитие социальной поддержки субъектов образовательного процесса»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№1 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Социальная поддержка участников образовательного процесса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2 339,5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2 089,5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2 089,5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6 518,5</w:t>
            </w:r>
          </w:p>
        </w:tc>
      </w:tr>
      <w:tr>
        <w:trPr>
          <w:cantSplit w:val="0"/>
          <w:trHeight w:val="284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2 284,9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6 354,7</w:t>
            </w:r>
          </w:p>
        </w:tc>
      </w:tr>
      <w:tr>
        <w:trPr>
          <w:cantSplit w:val="0"/>
          <w:trHeight w:val="354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(результат)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  <w:t xml:space="preserve"> №2 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3" w:percent="97"/>
                <w:lang w:eastAsia="zh-cn"/>
              </w:rPr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Обеспечение мер социальной поддержки в виде льгот по родительской плате за присмотр и уход за детьми в муниципальных организациях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»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6 780,8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6 730,8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6 730,8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20 242,4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754,5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754,5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754,5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2 263,5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6 026,3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5 976,3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5 976,3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17 978,9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497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contextualSpacing/>
              <w:jc w:val="both"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«Совершенствование условий для социальной адаптации и интеграции в общество детей-сирот и детей, оставшихся без попечения родителей»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 (результат) №3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Социальная поддержка детей-сирот, детей, оставшихся без попечения родителей»,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31 758,9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31 758,9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31 758,9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95 276,7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31 758,9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31 758,9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31 758,9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95 276,7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(результат) №4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«Численность детей-сирот и детей, оставшихся без попечения родителей, а также лица из числа детей-сирот, которые получают пенсию по потере кормильца», всего, в том 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497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«Укрепление здоровья школьников, и поддержка семей с детьми, включающие продолжение работы по организации качественного бесплатного горячего питания»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(результат)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№5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«Обеспечение мер социальной поддержки (в виде предоставления горячего питания) обучающимся муниципальных общеобразовательных организаций», всего, в том числе: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3 359,9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3 359,9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3 359,9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10 079,7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2 556,9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2 556,9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2 556,9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7 670,7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2 409,0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4977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«Развитие социальной поддержки субъектов образовательного процесса (из семей участников СВО) в сфере отдыха и оздоровления»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(результат) № 6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«Обеспечение мер адресной социальной поддержки (в сфере организации и обеспечения отдыха и оздоровления) обучающимся муниципальных общеобразовательных организаций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из семей участников СВО»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1 686,7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1 686,7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1 686,7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5 060,1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1 686,7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1 686,7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1 686,7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5 060,1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475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2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9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6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Анжеро-Судженского городского округа</w:t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31 августа 2026г. №  635</w:t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right="-2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7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муниципальной программе «Развитие системы образования»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утвержденной постановлением администрации </w:t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Анжеро-Судженского городского округа </w:t>
      </w:r>
      <w:r>
        <w:rPr>
          <w:rFonts w:ascii="Times New Roman" w:hAnsi="Times New Roman" w:cs="Times New Roman"/>
          <w:kern w:val="1"/>
          <w:sz w:val="24"/>
          <w:szCs w:val="24"/>
        </w:rPr>
      </w:r>
    </w:p>
    <w:p>
      <w:pPr>
        <w:spacing w:after="0" w:line="240" w:lineRule="auto"/>
        <w:jc w:val="right"/>
        <w:suppressAutoHyphens/>
        <w:hyphenationLines w:val="0"/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eastAsia="ru-ru"/>
        </w:rPr>
        <w:t xml:space="preserve">      От 08 декабря 2025г.  № 1189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ПАСПОРТ</w:t>
      </w:r>
    </w:p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комплекса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процессных</w:t>
      </w:r>
      <w:r>
        <w:rPr>
          <w:rFonts w:ascii="Times New Roman" w:hAnsi="Times New Roman" w:eastAsia="Times New Roman" w:cs="Times New Roman"/>
          <w:spacing w:val="-4" w:percent="97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мероприятий «Прочие мероприятия в области образования»</w:t>
      </w:r>
    </w:p>
    <w:p>
      <w:pPr>
        <w:spacing w:after="0" w:line="240" w:lineRule="auto"/>
        <w:suppressAutoHyphens/>
        <w:hyphenationLines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9"/>
        </w:numPr>
        <w:ind w:left="720" w:hanging="360"/>
        <w:spacing w:after="0" w:line="240" w:lineRule="auto"/>
        <w:contextualSpacing/>
        <w:jc w:val="center"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Финансовое обеспечение комплекса процессных мероприятий</w:t>
      </w:r>
    </w:p>
    <w:p>
      <w:pPr>
        <w:spacing w:after="0" w:line="240" w:lineRule="auto"/>
        <w:contextualSpacing/>
        <w:suppressAutoHyphens/>
        <w:hyphenationLines w:val="0"/>
        <w:widowContro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Style w:val="NormalTable"/>
        <w:name w:val="Таблица7"/>
        <w:tabOrder w:val="0"/>
        <w:jc w:val="center"/>
        <w:tblInd w:w="0" w:type="dxa"/>
        <w:tblW w:w="15024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7103"/>
        <w:gridCol w:w="1247"/>
        <w:gridCol w:w="1335"/>
        <w:gridCol w:w="1334"/>
        <w:gridCol w:w="1334"/>
        <w:gridCol w:w="1333"/>
        <w:gridCol w:w="1338"/>
      </w:tblGrid>
      <w:tr>
        <w:trPr>
          <w:cantSplit w:val="0"/>
          <w:trHeight w:val="282" w:hRule="atLeast"/>
        </w:trPr>
        <w:tc>
          <w:tcPr>
            <w:tcW w:w="7103" w:type="dxa"/>
            <w:vMerge w:val="restart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spacing w:val="-7" w:percent="9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(результата)</w:t>
            </w:r>
            <w:r>
              <w:rPr>
                <w:rFonts w:ascii="Times New Roman" w:hAnsi="Times New Roman" w:eastAsia="Times New Roman" w:cs="Times New Roman"/>
                <w:spacing w:val="-8" w:percent="9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источник</w:t>
            </w:r>
            <w:r>
              <w:rPr>
                <w:rFonts w:ascii="Times New Roman" w:hAnsi="Times New Roman" w:eastAsia="Times New Roman" w:cs="Times New Roman"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финансового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7921" w:type="dxa"/>
            <w:gridSpan w:val="6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Объем финансового обеспечения </w:t>
            </w:r>
            <w:r>
              <w:rPr>
                <w:rFonts w:ascii="Times New Roman" w:hAnsi="Times New Roman" w:eastAsia="Times New Roman" w:cs="Times New Roman"/>
                <w:spacing w:val="-37" w:percent="63"/>
                <w:lang w:eastAsia="zh-cn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годам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реализации,</w:t>
            </w:r>
            <w:r>
              <w:rPr>
                <w:rFonts w:ascii="Times New Roman" w:hAnsi="Times New Roman" w:eastAsia="Times New Roman" w:cs="Times New Roman"/>
                <w:spacing w:val="-3" w:percent="97"/>
                <w:lang w:eastAsia="zh-cn"/>
              </w:rPr>
              <w:t xml:space="preserve"> тыс.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455" w:hRule="atLeast"/>
        </w:trPr>
        <w:tc>
          <w:tcPr>
            <w:tcW w:w="7103" w:type="dxa"/>
            <w:vMerge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/>
        </w:tc>
        <w:tc>
          <w:tcPr>
            <w:tcW w:w="1247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35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3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34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333" w:type="dxa"/>
            <w:vAlign w:val="center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2030</w:t>
            </w:r>
          </w:p>
        </w:tc>
        <w:tc>
          <w:tcPr>
            <w:tcW w:w="1338" w:type="dxa"/>
            <w:vAlign w:val="center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center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Всего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cantSplit w:val="0"/>
          <w:trHeight w:val="349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jc w:val="both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Комплекс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процессных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«Прочие мероприятия в области образования»</w:t>
            </w:r>
            <w:r>
              <w:rPr>
                <w:rFonts w:ascii="Times New Roman" w:hAnsi="Times New Roman" w:eastAsia="Times New Roman" w:cs="Times New Roman"/>
                <w:iCs/>
                <w:spacing w:val="-1" w:percent="99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(всего),</w:t>
            </w:r>
            <w:r>
              <w:rPr>
                <w:rFonts w:ascii="Times New Roman" w:hAnsi="Times New Roman" w:eastAsia="Times New Roman" w:cs="Times New Roman"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252 103,6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264 799,9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264 683,5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781 587,0</w:t>
            </w:r>
          </w:p>
        </w:tc>
      </w:tr>
      <w:tr>
        <w:trPr>
          <w:cantSplit w:val="0"/>
          <w:trHeight w:val="274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>
        <w:trPr>
          <w:cantSplit w:val="0"/>
          <w:trHeight w:val="232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5 785,8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17 357,4</w:t>
            </w:r>
          </w:p>
        </w:tc>
      </w:tr>
      <w:tr>
        <w:trPr>
          <w:cantSplit w:val="0"/>
          <w:trHeight w:val="35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114 767,8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114 455,6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114 339,2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343 562,6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131 550,0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144 558,5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144 558,5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420 667,0</w:t>
            </w:r>
          </w:p>
        </w:tc>
      </w:tr>
      <w:tr>
        <w:trPr>
          <w:cantSplit w:val="0"/>
          <w:trHeight w:val="286" w:hRule="atLeast"/>
        </w:trPr>
        <w:tc>
          <w:tcPr>
            <w:tcW w:w="15024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contextualSpacing/>
              <w:jc w:val="both"/>
              <w:suppressAutoHyphens/>
              <w:hyphenationLines w:val="0"/>
              <w:keepNext/>
              <w:keepLines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Задача:</w:t>
            </w:r>
          </w:p>
          <w:p>
            <w:pPr>
              <w: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«Организация сопровождения семей СОП»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Мероприятие</w:t>
            </w:r>
            <w:r>
              <w:rPr>
                <w:rFonts w:ascii="Times New Roman" w:hAnsi="Times New Roman" w:eastAsia="Times New Roman" w:cs="Times New Roman"/>
                <w:b/>
                <w:iCs/>
                <w:spacing w:val="-2" w:percent="98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Cs/>
                <w:lang w:eastAsia="zh-cn"/>
              </w:rPr>
              <w:t>(результат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) №1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«Создание и функционирование комиссией по делам несовершеннолетних и защите их прав»,</w:t>
            </w:r>
            <w:r>
              <w:rPr>
                <w:rFonts w:ascii="Times New Roman" w:hAnsi="Times New Roman" w:eastAsia="Times New Roman" w:cs="Times New Roman"/>
                <w:iCs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всего,</w:t>
            </w:r>
            <w:r>
              <w:rPr>
                <w:rFonts w:ascii="Times New Roman" w:hAnsi="Times New Roman" w:eastAsia="Times New Roman" w:cs="Times New Roman"/>
                <w:iCs/>
                <w:spacing w:val="1" w:percent="101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в</w:t>
            </w:r>
            <w:r>
              <w:rPr>
                <w:rFonts w:ascii="Times New Roman" w:hAnsi="Times New Roman" w:eastAsia="Times New Roman" w:cs="Times New Roman"/>
                <w:iCs/>
                <w:spacing w:val="-3" w:percent="97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том</w:t>
            </w:r>
            <w:r>
              <w:rPr>
                <w:rFonts w:ascii="Times New Roman" w:hAnsi="Times New Roman" w:eastAsia="Times New Roman" w:cs="Times New Roman"/>
                <w:iCs/>
                <w:spacing w:val="-4" w:percent="9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lang w:eastAsia="zh-cn"/>
              </w:rPr>
              <w:t>числе: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963,7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963,7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963,7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2 891,1</w:t>
            </w:r>
          </w:p>
        </w:tc>
      </w:tr>
      <w:tr>
        <w:trPr>
          <w:cantSplit w:val="0"/>
          <w:trHeight w:val="284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Федеральный бюджет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963,7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2 891,1</w:t>
            </w:r>
          </w:p>
        </w:tc>
      </w:tr>
      <w:tr>
        <w:trPr>
          <w:cantSplit w:val="0"/>
          <w:trHeight w:val="354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15024" w:type="dxa"/>
            <w:gridSpan w:val="7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Задача: </w:t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«Обеспечить деятельность прочих организаций в сфере образования»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lang w:eastAsia="zh-cn"/>
              </w:rPr>
              <w:t>Мероприятие (результат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) № 2</w:t>
            </w:r>
          </w:p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«Обеспечение деятельности прочих организаций в сфере образования Анжеро-Судженского городского округа», всего, в том числе:</w:t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251 139,9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263 836,2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263 719,8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778 695,9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Федеральный бюджет</w:t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Областной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4 822,1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4 822,1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4 822,1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14 466,3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Местный бюджет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114 767,8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114 455,6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114 339,2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343 562,6</w:t>
            </w:r>
          </w:p>
        </w:tc>
      </w:tr>
      <w:tr>
        <w:trPr>
          <w:cantSplit w:val="0"/>
          <w:trHeight w:val="286" w:hRule="atLeast"/>
        </w:trPr>
        <w:tc>
          <w:tcPr>
            <w:tcW w:w="7103" w:type="dxa"/>
            <w:shd w:val="none"/>
            <w:tcMar>
              <w:left w:w="0" w:type="dxa"/>
              <w:right w:w="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 w:after="0" w:line="240" w:lineRule="auto"/>
              <w:suppressAutoHyphens/>
              <w:hyphenationLines w:val="0"/>
              <w:widowControl w:val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 Внебюджетные источники</w:t>
            </w:r>
            <w:r>
              <w:rPr>
                <w:rFonts w:ascii="Times New Roman" w:hAnsi="Times New Roman" w:eastAsia="Times New Roman" w:cs="Times New Roman"/>
                <w:spacing w:val="-5" w:percent="95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1247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131 550,0</w:t>
            </w:r>
          </w:p>
        </w:tc>
        <w:tc>
          <w:tcPr>
            <w:tcW w:w="1335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144 558,5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144 558,5</w:t>
            </w:r>
          </w:p>
        </w:tc>
        <w:tc>
          <w:tcPr>
            <w:tcW w:w="1334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3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8" w:type="dxa"/>
            <w:vAlign w:val="bottom"/>
            <w:shd w:val="none"/>
            <w:tcMar>
              <w:left w:w="0" w:type="dxa"/>
              <w:right w:w="0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8236626" protected="0"/>
          </w:tcPr>
          <w:p>
            <w:pPr>
              <w: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420 667,0</w:t>
            </w:r>
          </w:p>
        </w:tc>
      </w:tr>
    </w:tbl>
    <w:p>
      <w:pPr>
        <w:spacing w:after="0" w:line="240" w:lineRule="auto"/>
        <w:jc w:val="center"/>
        <w:suppressAutoHyphens/>
        <w:hyphenationLines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jc w:val="right"/>
        <w:outlineLvl w:val="1"/>
        <w:widowContro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contextualSpacing/>
        <w:suppressAutoHyphens/>
        <w:hyphenationLines w:val="0"/>
        <w:tabs defTabSz="708">
          <w:tab w:val="left" w:pos="5923" w:leader="none"/>
          <w:tab w:val="left" w:pos="15876" w:leader="none"/>
        </w:tabs>
        <w:rPr>
          <w:b/>
        </w:rPr>
      </w:pPr>
      <w:r>
        <w:rPr>
          <w:b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2"/>
      <w:footerReference w:type="default" r:id="rId13"/>
      <w:type w:val="nextPage"/>
      <w:pgSz w:h="11906" w:w="16838" w:orient="landscape"/>
      <w:pgMar w:left="1134" w:top="1418" w:right="1134" w:bottom="567" w:header="0" w:footer="709"/>
      <w:paperSrc w:first="0" w:other="0" a="0" b="0"/>
      <w:pgNumType w:fmt="decimal"/>
      <w:tmGutter w:val="3"/>
      <w:mirrorMargins w:val="0"/>
      <w:tmSection w:h="-2">
        <w:tmHeader w:id="0" w:h="0" edge="0" text="0">
          <w:shd w:val="none"/>
        </w:tmHeader>
        <w:tmFooter w:id="0" w:h="0" edge="709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charset w:val="00"/>
    <w:family w:val="roman"/>
    <w:pitch w:val="default"/>
  </w:font>
  <w:font w:name="Calibri">
    <w:charset w:val="00"/>
    <w:family w:val="swiss"/>
    <w:pitch w:val="default"/>
  </w:font>
  <w:font w:name="Segoe UI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5"/>
      <w:spacing/>
      <w:jc w:val="right"/>
    </w:pPr>
    <w:r/>
  </w:p>
  <w:p>
    <w:pPr>
      <w:pStyle w:val="para5"/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5"/>
      <w:spacing/>
      <w:jc w:val="right"/>
    </w:pPr>
    <w:r/>
  </w:p>
  <w:p>
    <w:pPr>
      <w:pStyle w:val="para5"/>
    </w:pP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5"/>
      <w:spacing/>
      <w:jc w:val="right"/>
    </w:pPr>
    <w:r/>
  </w:p>
  <w:p>
    <w:pPr>
      <w:pStyle w:val="para5"/>
      <w:spacing/>
      <w:jc w:val="right"/>
    </w:pP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4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6"/>
    <w:lvl w:ilvl="0">
      <w:start w:val="9"/>
      <w:numFmt w:val="decimal"/>
      <w:suff w:val="tab"/>
      <w:lvlText w:val="%1."/>
      <w:lvlJc w:val="left"/>
      <w:pPr>
        <w:ind w:left="360" w:hanging="0"/>
      </w:pPr>
      <w:rPr>
        <w:sz w:val="24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">
    <w:multiLevelType w:val="hybridMultilevel"/>
    <w:name w:val="Нумерованный список 15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3">
    <w:multiLevelType w:val="hybridMultilevel"/>
    <w:name w:val="Нумерованный список 17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4">
    <w:multiLevelType w:val="hybridMultilevel"/>
    <w:name w:val="Нумерованный список 1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5">
    <w:multiLevelType w:val="hybridMultilevel"/>
    <w:name w:val="Нумерованный список 8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6">
    <w:multiLevelType w:val="hybridMultilevel"/>
    <w:name w:val="Нумерованный список 14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7">
    <w:multiLevelType w:val="hybridMultilevel"/>
    <w:name w:val="Нумерованный список 13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8">
    <w:multiLevelType w:val="hybridMultilevel"/>
    <w:name w:val="Нумерованный список 5"/>
    <w:lvl w:ilvl="0">
      <w:start w:val="9"/>
      <w:numFmt w:val="decimal"/>
      <w:suff w:val="tab"/>
      <w:lvlText w:val="%1."/>
      <w:lvlJc w:val="left"/>
      <w:pPr>
        <w:ind w:left="360" w:hanging="0"/>
      </w:pPr>
      <w:rPr>
        <w:sz w:val="24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9">
    <w:multiLevelType w:val="hybridMultilevel"/>
    <w:name w:val="Нумерованный список 18"/>
    <w:lvl w:ilvl="0">
      <w:start w:val="5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0">
    <w:multiLevelType w:val="hybridMultilevel"/>
    <w:name w:val="Нумерованный список 7"/>
    <w:lvl w:ilvl="0">
      <w:start w:val="6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1">
    <w:multiLevelType w:val="hybridMultilevel"/>
    <w:name w:val="Нумерованный список 9"/>
    <w:lvl w:ilvl="0">
      <w:start w:val="4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2">
    <w:multiLevelType w:val="hybridMultilevel"/>
    <w:name w:val="Нумерованный список 19"/>
    <w:lvl w:ilvl="0">
      <w:numFmt w:val="bullet"/>
      <w:suff w:val="tab"/>
      <w:lvlText w:val="-"/>
      <w:lvlJc w:val="left"/>
      <w:pPr>
        <w:ind w:left="492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212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932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652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372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4092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812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532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252" w:hanging="0"/>
      </w:pPr>
      <w:rPr>
        <w:rFonts w:ascii="Wingdings" w:hAnsi="Wingdings" w:eastAsia="Wingdings" w:cs="Wingdings"/>
      </w:rPr>
    </w:lvl>
  </w:abstractNum>
  <w:abstractNum w:abstractNumId="13">
    <w:multiLevelType w:val="hybridMultilevel"/>
    <w:name w:val="Нумерованный список 20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4">
    <w:multiLevelType w:val="hybridMultilevel"/>
    <w:name w:val="Нумерованный список 21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5">
    <w:multiLevelType w:val="hybridMultilevel"/>
    <w:name w:val="Нумерованный список 22"/>
    <w:lvl w:ilvl="0">
      <w:start w:val="6"/>
      <w:numFmt w:val="decimal"/>
      <w:suff w:val="tab"/>
      <w:lvlText w:val="%1."/>
      <w:lvlJc w:val="left"/>
      <w:pPr>
        <w:ind w:left="4537" w:hanging="0"/>
      </w:pPr>
    </w:lvl>
    <w:lvl w:ilvl="1">
      <w:start w:val="1"/>
      <w:numFmt w:val="lowerLetter"/>
      <w:suff w:val="tab"/>
      <w:lvlText w:val="%2."/>
      <w:lvlJc w:val="left"/>
      <w:pPr>
        <w:ind w:left="5257" w:hanging="0"/>
      </w:pPr>
    </w:lvl>
    <w:lvl w:ilvl="2">
      <w:start w:val="1"/>
      <w:numFmt w:val="lowerRoman"/>
      <w:suff w:val="tab"/>
      <w:lvlText w:val="%3."/>
      <w:lvlJc w:val="right"/>
      <w:pPr>
        <w:ind w:left="6157" w:hanging="0"/>
      </w:pPr>
    </w:lvl>
    <w:lvl w:ilvl="3">
      <w:start w:val="1"/>
      <w:numFmt w:val="decimal"/>
      <w:suff w:val="tab"/>
      <w:lvlText w:val="%4."/>
      <w:lvlJc w:val="left"/>
      <w:pPr>
        <w:ind w:left="6697" w:hanging="0"/>
      </w:pPr>
    </w:lvl>
    <w:lvl w:ilvl="4">
      <w:start w:val="1"/>
      <w:numFmt w:val="lowerLetter"/>
      <w:suff w:val="tab"/>
      <w:lvlText w:val="%5."/>
      <w:lvlJc w:val="left"/>
      <w:pPr>
        <w:ind w:left="7417" w:hanging="0"/>
      </w:pPr>
    </w:lvl>
    <w:lvl w:ilvl="5">
      <w:start w:val="1"/>
      <w:numFmt w:val="lowerRoman"/>
      <w:suff w:val="tab"/>
      <w:lvlText w:val="%6."/>
      <w:lvlJc w:val="right"/>
      <w:pPr>
        <w:ind w:left="8317" w:hanging="0"/>
      </w:pPr>
    </w:lvl>
    <w:lvl w:ilvl="6">
      <w:start w:val="1"/>
      <w:numFmt w:val="decimal"/>
      <w:suff w:val="tab"/>
      <w:lvlText w:val="%7."/>
      <w:lvlJc w:val="left"/>
      <w:pPr>
        <w:ind w:left="8857" w:hanging="0"/>
      </w:pPr>
    </w:lvl>
    <w:lvl w:ilvl="7">
      <w:start w:val="1"/>
      <w:numFmt w:val="lowerLetter"/>
      <w:suff w:val="tab"/>
      <w:lvlText w:val="%8."/>
      <w:lvlJc w:val="left"/>
      <w:pPr>
        <w:ind w:left="9577" w:hanging="0"/>
      </w:pPr>
    </w:lvl>
    <w:lvl w:ilvl="8">
      <w:start w:val="1"/>
      <w:numFmt w:val="lowerRoman"/>
      <w:suff w:val="tab"/>
      <w:lvlText w:val="%9."/>
      <w:lvlJc w:val="right"/>
      <w:pPr>
        <w:ind w:left="10477" w:hanging="0"/>
      </w:pPr>
    </w:lvl>
  </w:abstractNum>
  <w:abstractNum w:abstractNumId="16">
    <w:multiLevelType w:val="hybridMultilevel"/>
    <w:name w:val="Нумерованный список 23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7">
    <w:multiLevelType w:val="hybridMultilevel"/>
    <w:name w:val="Нумерованный список 24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18">
    <w:multiLevelType w:val="hybridMultilevel"/>
    <w:name w:val="Нумерованный список 25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9">
    <w:multiLevelType w:val="hybridMultilevel"/>
    <w:name w:val="Нумерованный список 26"/>
    <w:lvl w:ilvl="0">
      <w:start w:val="4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0">
    <w:multiLevelType w:val="hybridMultilevel"/>
    <w:name w:val="Нумерованный список 10"/>
    <w:lvl w:ilvl="0">
      <w:start w:val="5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1">
    <w:multiLevelType w:val="hybridMultilevel"/>
    <w:name w:val="Нумерованный список 6"/>
    <w:lvl w:ilvl="0">
      <w:numFmt w:val="bullet"/>
      <w:suff w:val="tab"/>
      <w:lvlText w:val="-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2">
    <w:multiLevelType w:val="hybridMultilevel"/>
    <w:name w:val="Нумерованный список 1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3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4">
    <w:multiLevelType w:val="hybridMultilevel"/>
    <w:name w:val="Нумерованный список 27"/>
    <w:lvl w:ilvl="0">
      <w:numFmt w:val="bullet"/>
      <w:suff w:val="tab"/>
      <w:lvlText w:val="-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5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6">
    <w:multiLevelType w:val="hybridMultilevel"/>
    <w:name w:val="Нумерованный список 28"/>
    <w:lvl w:ilvl="0">
      <w:numFmt w:val="bullet"/>
      <w:suff w:val="tab"/>
      <w:lvlText w:val="-"/>
      <w:lvlJc w:val="left"/>
      <w:pPr>
        <w:ind w:left="284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04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724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444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164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884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04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324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044" w:hanging="0"/>
      </w:pPr>
      <w:rPr>
        <w:rFonts w:ascii="Wingdings" w:hAnsi="Wingdings" w:eastAsia="Wingdings" w:cs="Wingdings"/>
      </w:rPr>
    </w:lvl>
  </w:abstractNum>
  <w:abstractNum w:abstractNumId="27">
    <w:multiLevelType w:val="hybridMultilevel"/>
    <w:name w:val="Нумерованный список 29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8">
    <w:multiLevelType w:val="hybridMultilevel"/>
    <w:name w:val="Нумерованный список 30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29">
    <w:multiLevelType w:val="hybridMultilevel"/>
    <w:name w:val="Нумерованный список 4"/>
    <w:lvl w:ilvl="0">
      <w:numFmt w:val="bullet"/>
      <w:suff w:val="tab"/>
      <w:lvlText w:val="-"/>
      <w:lvlJc w:val="left"/>
      <w:pPr>
        <w:ind w:left="284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04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724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444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164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884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604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324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044" w:hanging="0"/>
      </w:pPr>
      <w:rPr>
        <w:rFonts w:ascii="Wingdings" w:hAnsi="Wingdings" w:eastAsia="Wingdings" w:cs="Wingdings"/>
      </w:rPr>
    </w:lvl>
  </w:abstractNum>
  <w:abstractNum w:abstractNumId="30">
    <w:multiLevelType w:val="hybridMultilevel"/>
    <w:name w:val="Нумерованный список 3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31">
    <w:multiLevelType w:val="hybridMultilevel"/>
    <w:name w:val="Нумерованный список 2"/>
    <w:lvl w:ilvl="0">
      <w:numFmt w:val="bullet"/>
      <w:suff w:val="tab"/>
      <w:lvlText w:val="-"/>
      <w:lvlJc w:val="left"/>
      <w:pPr>
        <w:ind w:left="492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212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932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2652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372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4092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4812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532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252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5121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9"/>
    <w:tmLastPosSelect w:val="0"/>
    <w:tmLastPosFrameIdx w:val="0"/>
    <w:tmLastPosCaret>
      <w:tmLastPosPgfIdx w:val="20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8236626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para4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5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6" w:customStyle="1">
    <w:name w:val="ConsPlusNormal"/>
    <w:qFormat/>
    <w:pPr>
      <w:spacing w:after="0" w:line="240" w:lineRule="auto"/>
    </w:pPr>
    <w:rPr>
      <w:rFonts w:ascii="Calibri" w:hAnsi="Calibri" w:eastAsia="Times New Roman" w:cs="Calibri"/>
      <w:b/>
      <w:sz w:val="24"/>
      <w:szCs w:val="24"/>
      <w:lang w:val="ru-ru" w:eastAsia="ru-ru" w:bidi="ar-sa"/>
    </w:rPr>
  </w:style>
  <w:style w:type="paragraph" w:styleId="para7" w:customStyle="1">
    <w:name w:val="Основной текст1"/>
    <w:qFormat/>
    <w:basedOn w:val="para0"/>
    <w:pPr>
      <w:spacing w:before="600" w:after="480" w:line="486" w:lineRule="exact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rFonts w:eastAsia="Times New Roman"/>
      <w:kern w:val="1"/>
      <w:sz w:val="28"/>
      <w:szCs w:val="28"/>
      <w:lang w:eastAsia="ru-ru"/>
    </w:rPr>
  </w:style>
  <w:style w:type="paragraph" w:styleId="para8" w:customStyle="1">
    <w:name w:val="Table Paragraph"/>
    <w:qFormat/>
    <w:basedOn w:val="para0"/>
    <w:pPr>
      <w:spacing w:after="0" w:line="240" w:lineRule="auto"/>
      <w:suppressAutoHyphens/>
      <w:hyphenationLines w:val="0"/>
      <w:widowControl w:val="0"/>
    </w:pPr>
    <w:rPr>
      <w:rFonts w:eastAsia="Times New Roman"/>
      <w:kern w:val="1"/>
      <w:sz w:val="24"/>
      <w:szCs w:val="24"/>
      <w:lang w:eastAsia="zh-cn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eastAsia="Calibri" w:cs="Segoe UI"/>
      <w:sz w:val="18"/>
      <w:szCs w:val="18"/>
    </w:rPr>
  </w:style>
  <w:style w:type="character" w:styleId="char2" w:customStyle="1">
    <w:name w:val="Основной текст Знак"/>
    <w:basedOn w:val="char0"/>
    <w:rPr>
      <w:rFonts w:ascii="Times New Roman" w:hAnsi="Times New Roman" w:eastAsia="Times New Roman" w:cs="Times New Roman"/>
      <w:sz w:val="28"/>
      <w:szCs w:val="28"/>
    </w:rPr>
  </w:style>
  <w:style w:type="character" w:styleId="char3" w:customStyle="1">
    <w:name w:val="Верхний колонтитул Знак"/>
    <w:basedOn w:val="char0"/>
    <w:rPr>
      <w:rFonts w:ascii="Calibri" w:hAnsi="Calibri" w:eastAsia="Calibri" w:cs="Calibri"/>
    </w:rPr>
  </w:style>
  <w:style w:type="character" w:styleId="char4" w:customStyle="1">
    <w:name w:val="Нижний колонтитул Знак"/>
    <w:basedOn w:val="char0"/>
    <w:rPr>
      <w:rFonts w:ascii="Calibri" w:hAnsi="Calibri" w:eastAsia="Calibri" w:cs="Calibri"/>
    </w:rPr>
  </w:style>
  <w:style w:type="character" w:styleId="char5">
    <w:name w:val="Hyperlink"/>
    <w:basedOn w:val="char0"/>
    <w:rPr>
      <w:color w:val="0563c1"/>
      <w:u w:color="auto" w:val="single"/>
    </w:rPr>
  </w:style>
  <w:style w:type="character" w:styleId="char6">
    <w:name w:val="FollowedHyperlink"/>
    <w:basedOn w:val="char0"/>
    <w:rPr>
      <w:color w:val="954f72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para4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5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6" w:customStyle="1">
    <w:name w:val="ConsPlusNormal"/>
    <w:qFormat/>
    <w:pPr>
      <w:spacing w:after="0" w:line="240" w:lineRule="auto"/>
    </w:pPr>
    <w:rPr>
      <w:rFonts w:ascii="Calibri" w:hAnsi="Calibri" w:eastAsia="Times New Roman" w:cs="Calibri"/>
      <w:b/>
      <w:sz w:val="24"/>
      <w:szCs w:val="24"/>
      <w:lang w:val="ru-ru" w:eastAsia="ru-ru" w:bidi="ar-sa"/>
    </w:rPr>
  </w:style>
  <w:style w:type="paragraph" w:styleId="para7" w:customStyle="1">
    <w:name w:val="Основной текст1"/>
    <w:qFormat/>
    <w:basedOn w:val="para0"/>
    <w:pPr>
      <w:spacing w:before="600" w:after="480" w:line="486" w:lineRule="exact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rFonts w:eastAsia="Times New Roman"/>
      <w:kern w:val="1"/>
      <w:sz w:val="28"/>
      <w:szCs w:val="28"/>
      <w:lang w:eastAsia="ru-ru"/>
    </w:rPr>
  </w:style>
  <w:style w:type="paragraph" w:styleId="para8" w:customStyle="1">
    <w:name w:val="Table Paragraph"/>
    <w:qFormat/>
    <w:basedOn w:val="para0"/>
    <w:pPr>
      <w:spacing w:after="0" w:line="240" w:lineRule="auto"/>
      <w:suppressAutoHyphens/>
      <w:hyphenationLines w:val="0"/>
      <w:widowControl w:val="0"/>
    </w:pPr>
    <w:rPr>
      <w:rFonts w:eastAsia="Times New Roman"/>
      <w:kern w:val="1"/>
      <w:sz w:val="24"/>
      <w:szCs w:val="24"/>
      <w:lang w:eastAsia="zh-cn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eastAsia="Calibri" w:cs="Segoe UI"/>
      <w:sz w:val="18"/>
      <w:szCs w:val="18"/>
    </w:rPr>
  </w:style>
  <w:style w:type="character" w:styleId="char2" w:customStyle="1">
    <w:name w:val="Основной текст Знак"/>
    <w:basedOn w:val="char0"/>
    <w:rPr>
      <w:rFonts w:ascii="Times New Roman" w:hAnsi="Times New Roman" w:eastAsia="Times New Roman" w:cs="Times New Roman"/>
      <w:sz w:val="28"/>
      <w:szCs w:val="28"/>
    </w:rPr>
  </w:style>
  <w:style w:type="character" w:styleId="char3" w:customStyle="1">
    <w:name w:val="Верхний колонтитул Знак"/>
    <w:basedOn w:val="char0"/>
    <w:rPr>
      <w:rFonts w:ascii="Calibri" w:hAnsi="Calibri" w:eastAsia="Calibri" w:cs="Calibri"/>
    </w:rPr>
  </w:style>
  <w:style w:type="character" w:styleId="char4" w:customStyle="1">
    <w:name w:val="Нижний колонтитул Знак"/>
    <w:basedOn w:val="char0"/>
    <w:rPr>
      <w:rFonts w:ascii="Calibri" w:hAnsi="Calibri" w:eastAsia="Calibri" w:cs="Calibri"/>
    </w:rPr>
  </w:style>
  <w:style w:type="character" w:styleId="char5">
    <w:name w:val="Hyperlink"/>
    <w:basedOn w:val="char0"/>
    <w:rPr>
      <w:color w:val="0563c1"/>
      <w:u w:color="auto" w:val="single"/>
    </w:rPr>
  </w:style>
  <w:style w:type="character" w:styleId="char6">
    <w:name w:val="FollowedHyperlink"/>
    <w:basedOn w:val="char0"/>
    <w:rPr>
      <w:color w:val="954f72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8</cp:revision>
  <cp:lastPrinted>2026-04-27T03:00:00Z</cp:lastPrinted>
  <dcterms:created xsi:type="dcterms:W3CDTF">2026-08-24T03:10:00Z</dcterms:created>
  <dcterms:modified xsi:type="dcterms:W3CDTF">2026-09-01T04:23:46Z</dcterms:modified>
</cp:coreProperties>
</file>